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3E12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</w:pPr>
      <w:bookmarkStart w:id="0" w:name="_Toc5043"/>
    </w:p>
    <w:p w14:paraId="5B0CA647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  <w:t>山东金岭矿业股份有限公司</w:t>
      </w:r>
    </w:p>
    <w:p w14:paraId="7658973A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  <w:t>寰宇新材隔音屏障安装工程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项目</w:t>
      </w:r>
      <w:bookmarkEnd w:id="0"/>
    </w:p>
    <w:p w14:paraId="39CE4715">
      <w:pPr>
        <w:spacing w:line="360" w:lineRule="auto"/>
        <w:jc w:val="center"/>
        <w:rPr>
          <w:rFonts w:cs="黑体" w:asciiTheme="minorEastAsia" w:hAnsiTheme="minorEastAsia" w:eastAsiaTheme="minorEastAsia"/>
          <w:sz w:val="28"/>
          <w:szCs w:val="28"/>
        </w:rPr>
      </w:pPr>
    </w:p>
    <w:p w14:paraId="15E080FD">
      <w:pPr>
        <w:spacing w:line="360" w:lineRule="auto"/>
        <w:jc w:val="center"/>
        <w:rPr>
          <w:rFonts w:cs="黑体" w:asciiTheme="minorEastAsia" w:hAnsiTheme="minorEastAsia" w:eastAsiaTheme="minorEastAsia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z w:val="28"/>
          <w:szCs w:val="28"/>
        </w:rPr>
        <w:t>（项目编号：61140025123101）</w:t>
      </w:r>
    </w:p>
    <w:p w14:paraId="28F9FA2D">
      <w:pPr>
        <w:rPr>
          <w:rFonts w:cs="黑体" w:asciiTheme="minorEastAsia" w:hAnsiTheme="minorEastAsia" w:eastAsiaTheme="minorEastAsia"/>
          <w:sz w:val="28"/>
          <w:szCs w:val="28"/>
        </w:rPr>
      </w:pPr>
    </w:p>
    <w:p w14:paraId="4DD617CB">
      <w:pPr>
        <w:pStyle w:val="2"/>
        <w:ind w:firstLine="420"/>
      </w:pPr>
    </w:p>
    <w:p w14:paraId="6BE95493">
      <w:pPr>
        <w:ind w:firstLine="420"/>
      </w:pPr>
    </w:p>
    <w:p w14:paraId="400769EE">
      <w:pPr>
        <w:pStyle w:val="2"/>
        <w:ind w:firstLine="420"/>
      </w:pPr>
    </w:p>
    <w:p w14:paraId="2AF3E722">
      <w:pPr>
        <w:tabs>
          <w:tab w:val="left" w:pos="315"/>
          <w:tab w:val="left" w:pos="8820"/>
        </w:tabs>
        <w:ind w:right="267" w:rightChars="127"/>
        <w:jc w:val="center"/>
        <w:rPr>
          <w:rFonts w:hint="eastAsia" w:ascii="微软简标宋" w:eastAsia="黑体"/>
          <w:b/>
          <w:bCs/>
          <w:color w:val="000000"/>
          <w:sz w:val="52"/>
          <w:lang w:val="en-US" w:eastAsia="zh-CN"/>
        </w:rPr>
      </w:pPr>
      <w:r>
        <w:rPr>
          <w:rFonts w:hint="eastAsia" w:ascii="微软简标宋" w:eastAsia="黑体"/>
          <w:b w:val="0"/>
          <w:bCs w:val="0"/>
          <w:color w:val="000000"/>
          <w:sz w:val="52"/>
        </w:rPr>
        <w:t>竞争性谈判</w:t>
      </w:r>
      <w:r>
        <w:rPr>
          <w:rFonts w:hint="eastAsia" w:ascii="微软简标宋" w:eastAsia="黑体"/>
          <w:b w:val="0"/>
          <w:bCs w:val="0"/>
          <w:color w:val="000000"/>
          <w:sz w:val="52"/>
          <w:lang w:eastAsia="zh-CN"/>
        </w:rPr>
        <w:t>公告</w:t>
      </w:r>
    </w:p>
    <w:p w14:paraId="4E96C2E8">
      <w:pPr>
        <w:jc w:val="center"/>
        <w:rPr>
          <w:rFonts w:cs="黑体" w:asciiTheme="minorEastAsia" w:hAnsiTheme="minorEastAsia" w:eastAsiaTheme="minorEastAsia"/>
          <w:sz w:val="52"/>
          <w:szCs w:val="52"/>
        </w:rPr>
      </w:pPr>
    </w:p>
    <w:p w14:paraId="286551CB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494F988A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02084BE0">
      <w:pPr>
        <w:pStyle w:val="2"/>
        <w:ind w:firstLine="420"/>
      </w:pPr>
    </w:p>
    <w:p w14:paraId="4336ACE1">
      <w:pPr>
        <w:ind w:firstLine="420"/>
      </w:pPr>
    </w:p>
    <w:p w14:paraId="1B0FE0B6">
      <w:pPr>
        <w:ind w:firstLine="420"/>
      </w:pPr>
    </w:p>
    <w:p w14:paraId="01AB4BCC">
      <w:pPr>
        <w:pStyle w:val="2"/>
        <w:ind w:firstLine="420"/>
      </w:pPr>
    </w:p>
    <w:p w14:paraId="11993F9F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0DFDB0B9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789A6B45">
      <w:pPr>
        <w:spacing w:line="720" w:lineRule="auto"/>
        <w:ind w:left="850" w:leftChars="405"/>
        <w:jc w:val="center"/>
        <w:rPr>
          <w:rFonts w:hint="default" w:cs="黑体" w:asciiTheme="minorEastAsia" w:hAnsiTheme="minorEastAsia" w:eastAsiaTheme="minorEastAsia"/>
          <w:sz w:val="28"/>
          <w:szCs w:val="28"/>
          <w:u w:val="single"/>
          <w:lang w:val="en-US"/>
        </w:rPr>
      </w:pPr>
      <w:r>
        <w:rPr>
          <w:rFonts w:hint="eastAsia" w:cs="黑体" w:asciiTheme="minorEastAsia" w:hAnsiTheme="minorEastAsia" w:eastAsiaTheme="minorEastAsia"/>
          <w:sz w:val="28"/>
          <w:szCs w:val="28"/>
        </w:rPr>
        <w:t>采购人：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eastAsia="zh-CN"/>
        </w:rPr>
        <w:t>山东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金岭矿业股份有限公司</w:t>
      </w:r>
    </w:p>
    <w:p w14:paraId="28042973">
      <w:pPr>
        <w:spacing w:line="720" w:lineRule="auto"/>
        <w:jc w:val="center"/>
        <w:rPr>
          <w:rFonts w:hint="eastAsia" w:cs="黑体" w:asciiTheme="minorEastAsia" w:hAnsiTheme="minorEastAsia" w:eastAsiaTheme="minorEastAsia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黑体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年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月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30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日</w:t>
      </w:r>
    </w:p>
    <w:p w14:paraId="1175DC69">
      <w:pPr>
        <w:rPr>
          <w:rFonts w:hint="eastAsia" w:cs="黑体" w:asciiTheme="minorEastAsia" w:hAnsiTheme="minorEastAsia" w:eastAsiaTheme="minorEastAsia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z w:val="28"/>
          <w:szCs w:val="28"/>
        </w:rPr>
        <w:br w:type="page"/>
      </w:r>
    </w:p>
    <w:p w14:paraId="04339C46">
      <w:pPr>
        <w:pStyle w:val="2"/>
        <w:rPr>
          <w:rFonts w:hint="eastAsia"/>
        </w:rPr>
      </w:pPr>
    </w:p>
    <w:p w14:paraId="427D4F84">
      <w:pPr>
        <w:autoSpaceDE w:val="0"/>
        <w:autoSpaceDN w:val="0"/>
        <w:adjustRightInd w:val="0"/>
        <w:spacing w:line="360" w:lineRule="auto"/>
        <w:ind w:firstLine="487" w:firstLineChars="202"/>
        <w:jc w:val="left"/>
        <w:outlineLvl w:val="1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采购条件</w:t>
      </w:r>
    </w:p>
    <w:p w14:paraId="495C4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Ansi="宋体" w:cs="宋体"/>
          <w:color w:val="00000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eastAsia="zh-CN"/>
        </w:rPr>
        <w:t>山东金岭矿业股份有限公司寰宇新材隔音屏障安装工程</w:t>
      </w:r>
      <w:r>
        <w:rPr>
          <w:rFonts w:hint="eastAsia"/>
          <w:sz w:val="24"/>
          <w:szCs w:val="24"/>
          <w:highlight w:val="none"/>
        </w:rPr>
        <w:t>项目,采购人为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山东金岭矿业股份有限公司</w:t>
      </w:r>
      <w:r>
        <w:rPr>
          <w:rFonts w:hint="eastAsia"/>
          <w:sz w:val="24"/>
          <w:szCs w:val="24"/>
          <w:highlight w:val="none"/>
        </w:rPr>
        <w:t>，建设资金来自</w:t>
      </w:r>
      <w:r>
        <w:rPr>
          <w:rFonts w:hint="eastAsia"/>
          <w:sz w:val="24"/>
          <w:szCs w:val="24"/>
          <w:highlight w:val="none"/>
          <w:u w:val="single"/>
        </w:rPr>
        <w:t>企业自筹</w:t>
      </w:r>
      <w:r>
        <w:rPr>
          <w:rFonts w:hint="eastAsia"/>
          <w:sz w:val="24"/>
          <w:szCs w:val="24"/>
          <w:highlight w:val="none"/>
        </w:rPr>
        <w:t>，出资比例为</w:t>
      </w:r>
      <w:r>
        <w:rPr>
          <w:rFonts w:hint="eastAsia"/>
          <w:sz w:val="24"/>
          <w:szCs w:val="24"/>
          <w:highlight w:val="none"/>
          <w:u w:val="single"/>
        </w:rPr>
        <w:t>100%</w:t>
      </w:r>
      <w:r>
        <w:rPr>
          <w:rFonts w:hint="eastAsia"/>
          <w:sz w:val="24"/>
          <w:szCs w:val="24"/>
          <w:highlight w:val="none"/>
        </w:rPr>
        <w:t>。该项目已具备采购条件，现对该项目进行竞争性谈判采购。</w:t>
      </w:r>
    </w:p>
    <w:p w14:paraId="78A3B297">
      <w:pPr>
        <w:autoSpaceDE w:val="0"/>
        <w:autoSpaceDN w:val="0"/>
        <w:adjustRightInd w:val="0"/>
        <w:spacing w:line="360" w:lineRule="auto"/>
        <w:ind w:firstLine="487" w:firstLineChars="202"/>
        <w:jc w:val="left"/>
        <w:outlineLvl w:val="1"/>
        <w:rPr>
          <w:rFonts w:hint="eastAsia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2.</w:t>
      </w:r>
      <w:r>
        <w:rPr>
          <w:rFonts w:ascii="宋体" w:hAnsi="宋体" w:cs="宋体"/>
          <w:b/>
          <w:color w:val="000000"/>
          <w:sz w:val="24"/>
          <w:szCs w:val="24"/>
          <w:lang w:val="zh-CN"/>
        </w:rPr>
        <w:t>项目概况与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采购</w:t>
      </w:r>
      <w:r>
        <w:rPr>
          <w:rFonts w:ascii="宋体" w:hAnsi="宋体" w:cs="宋体"/>
          <w:b/>
          <w:color w:val="000000"/>
          <w:sz w:val="24"/>
          <w:szCs w:val="24"/>
          <w:lang w:val="zh-CN"/>
        </w:rPr>
        <w:t>范围</w:t>
      </w:r>
    </w:p>
    <w:p w14:paraId="0DE8B2CA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default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highlight w:val="none"/>
          <w:lang w:eastAsia="zh-CN"/>
        </w:rPr>
        <w:t>山东金岭矿业股份有限公司寰宇新材隔音屏障安装工程</w:t>
      </w:r>
      <w:r>
        <w:rPr>
          <w:rFonts w:hint="eastAsia"/>
          <w:sz w:val="24"/>
          <w:szCs w:val="24"/>
          <w:highlight w:val="none"/>
        </w:rPr>
        <w:t>项目</w:t>
      </w:r>
      <w:r>
        <w:rPr>
          <w:rFonts w:hint="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位于山东省淄博市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先进制造业创新示范区</w:t>
      </w:r>
      <w:r>
        <w:rPr>
          <w:rFonts w:hint="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山东金岭矿业股份有限公司。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寰宇新材厂区西南侧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有隔音屏障140米，因使用年限长，破损严重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为降低噪音对居民的影响，需对厂区西南侧隔音屏障进行更换和延伸。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其中原隔音墙南侧部分125米为砖砌基础，北侧部分15米坐落于原院墙之上。</w:t>
      </w:r>
    </w:p>
    <w:p w14:paraId="23D7B3A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新隔音屏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整体要求</w:t>
      </w:r>
    </w:p>
    <w:p w14:paraId="09C5566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2.1.1 屏障规格尺寸：整体长度约170m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，屏障顶标高较原隔音屏障南半部分基础的顶标高高5米，面积约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其中:</w:t>
      </w:r>
    </w:p>
    <w:p w14:paraId="525C1CA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南侧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125m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*5米，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面积约625㎡。</w:t>
      </w:r>
    </w:p>
    <w:p w14:paraId="31C1A28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北侧（斜墙）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面积约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（可根据设计增减，顶标高与南侧一致）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748F81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（3）北墙向西延伸30m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面积约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（可根据设计增减，顶标高与南侧一致）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18EF090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2.1.2 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整体隔音墙根据现场实际和寰宇新材要求重新设计（包含基础、立柱、斜撑、隔音屏），原有基础、院墙能够利用或加固后能够利用的可以利用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隔音屏障完成后要达到：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隔声量≥30dB；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所有固定螺栓、钢板、立柱、支撑、屏体的结构强度和屏障基础强度均满足承受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不小于淄博市50年一遇的最大风压。</w:t>
      </w:r>
    </w:p>
    <w:p w14:paraId="0364E39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2.2 屏障立柱要求</w:t>
      </w:r>
    </w:p>
    <w:p w14:paraId="2547C0F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H型钢立柱，规格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不低于HW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，防腐为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高温喷涂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，高度与屏障顶标高一致，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间距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不大于3米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，立柱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背面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￠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108*4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镀锌钢管支撑。</w:t>
      </w:r>
    </w:p>
    <w:p w14:paraId="708B52E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2.3 金属屏体要求</w:t>
      </w:r>
    </w:p>
    <w:p w14:paraId="39A2106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金属屏体结构：镀锌板夹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吸音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棉，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厚度不低于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80mm。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镀锌板规格：正面厚度0.8mm，背面厚度1mm，表面高温喷涂，颜色灰色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夹层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防火超细吸音棉。</w:t>
      </w:r>
    </w:p>
    <w:p w14:paraId="3BC81E3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2.4其他要求</w:t>
      </w:r>
    </w:p>
    <w:p w14:paraId="470412A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消音屏障需现场勘察，根据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相关要求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和规范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进行设计，设计经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同意后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做出施工图（设计单位签字并加盖设计资质章），并由采购人备案后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再进行材料加工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和工程施工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。报价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包括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本项目相关的自方案设计开始至验收完成期间所有的设计费（方案设计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施工图设计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必须符合国家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省、市规定）、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原隔音屏障的拆除费、垃圾处理费、新隔音屏障的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费、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检测费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、调试费、验收费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保修等全部费用以及合同明示或暗示的所有责任、义务和不可抗力以外的一切风险费用。</w:t>
      </w:r>
    </w:p>
    <w:p w14:paraId="788ECC5A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>计划工期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日历日</w:t>
      </w:r>
    </w:p>
    <w:p w14:paraId="1B316335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保修期 5年</w:t>
      </w:r>
    </w:p>
    <w:p w14:paraId="59140ED4">
      <w:pPr>
        <w:adjustRightInd w:val="0"/>
        <w:snapToGrid w:val="0"/>
        <w:spacing w:line="360" w:lineRule="auto"/>
        <w:ind w:firstLine="487" w:firstLineChars="202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踏勘现场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时间: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1 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12</w:t>
      </w:r>
      <w:bookmarkStart w:id="6" w:name="_GoBack"/>
      <w:bookmarkEnd w:id="6"/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 xml:space="preserve"> 日9：30</w:t>
      </w:r>
    </w:p>
    <w:p w14:paraId="5E20622A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踏勘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现场集合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地点：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山东金岭矿业股份有限公司寰宇矿业服务公司</w:t>
      </w:r>
    </w:p>
    <w:p w14:paraId="31D13A35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eastAsia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踏勘现场联系人：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王先生  3089401       刘先生  3089347</w:t>
      </w:r>
    </w:p>
    <w:p w14:paraId="194C96F5">
      <w:pPr>
        <w:adjustRightInd w:val="0"/>
        <w:snapToGrid w:val="0"/>
        <w:spacing w:line="360" w:lineRule="auto"/>
        <w:ind w:firstLine="487" w:firstLineChars="202"/>
        <w:outlineLvl w:val="1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.谈判供应商资格要求：</w:t>
      </w:r>
    </w:p>
    <w:p w14:paraId="19DCE7DA">
      <w:pPr>
        <w:adjustRightInd w:val="0"/>
        <w:snapToGrid w:val="0"/>
        <w:spacing w:line="360" w:lineRule="auto"/>
        <w:ind w:firstLine="484" w:firstLineChars="202"/>
        <w:outlineLvl w:val="2"/>
        <w:rPr>
          <w:rFonts w:ascii="宋体" w:hAnsi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3.1在中华人民共和国注册并具有独立法人资格。</w:t>
      </w:r>
    </w:p>
    <w:p w14:paraId="6C8875A1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3.2资质要求：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谈判供应商须具备建筑工程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或公路工程或市政公用工程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施工总承包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级（含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叁级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以上资质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并具有有效的安全生产许可证。</w:t>
      </w:r>
    </w:p>
    <w:p w14:paraId="767BBE14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3.3项目经理：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项目经理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须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备建筑工程</w:t>
      </w:r>
      <w:r>
        <w:rPr>
          <w:rFonts w:hint="eastAsia" w:cs="Times New Roman"/>
          <w:sz w:val="24"/>
          <w:szCs w:val="24"/>
          <w:lang w:val="en-US" w:eastAsia="zh-CN"/>
        </w:rPr>
        <w:t>（或公路工程或市政公用工程）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专业的建造师证书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和对应的有效注册证书，以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及有效的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建筑施工企业项目负责人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安全生产考核合格证书（B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证）。</w:t>
      </w:r>
    </w:p>
    <w:p w14:paraId="302AC22B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业绩要求：谈判供应商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须提供类似工程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/>
        </w:rPr>
        <w:t>业绩（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以20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7D4AFBAF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谈判供应商未被“信用中国”网站列入失信被执行人、重大税收违法失信主体；（须提供网络截图并加盖公司公章）。</w:t>
      </w:r>
    </w:p>
    <w:p w14:paraId="44AB2964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val="zh-CN"/>
        </w:rPr>
        <w:t>谈判供应商财务状况良好，没有处于财产被没收、接管、破产或其他关、停、并、转的状态，须提供近三年（2022年、2023年、2024年）财务审计报告；如近期成立的企业提供成立至今的财务审计报告。</w:t>
      </w:r>
    </w:p>
    <w:p w14:paraId="2D6F5A4C">
      <w:pPr>
        <w:adjustRightInd w:val="0"/>
        <w:snapToGrid w:val="0"/>
        <w:spacing w:line="360" w:lineRule="auto"/>
        <w:ind w:firstLine="484" w:firstLineChars="202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本项目不接受联合体投标。</w:t>
      </w:r>
    </w:p>
    <w:p w14:paraId="5F5E4AF4">
      <w:pPr>
        <w:autoSpaceDE w:val="0"/>
        <w:autoSpaceDN w:val="0"/>
        <w:adjustRightInd w:val="0"/>
        <w:spacing w:line="360" w:lineRule="auto"/>
        <w:ind w:firstLine="487" w:firstLineChars="202"/>
        <w:jc w:val="left"/>
        <w:outlineLvl w:val="1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.谈判文件发售办法：</w:t>
      </w:r>
    </w:p>
    <w:p w14:paraId="222E0E0C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4.1本项目实行网上报名，网上发售电子版谈判文件。凡有意参加投标者，请于</w:t>
      </w:r>
      <w:r>
        <w:rPr>
          <w:rFonts w:ascii="宋体" w:hAnsi="宋体" w:cs="宋体"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日至</w:t>
      </w:r>
      <w:r>
        <w:rPr>
          <w:rFonts w:ascii="宋体" w:hAnsi="宋体" w:cs="宋体"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</w:rPr>
        <w:t>登录山钢集团阳光购销平台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（http://bams.shansteelgroup.com/）</w:t>
      </w:r>
      <w:r>
        <w:rPr>
          <w:rFonts w:hint="eastAsia" w:ascii="宋体" w:hAnsi="宋体" w:cs="宋体"/>
          <w:kern w:val="0"/>
          <w:sz w:val="24"/>
          <w:szCs w:val="24"/>
        </w:rPr>
        <w:t>,报名并购买下载电子版谈判文件。</w:t>
      </w:r>
    </w:p>
    <w:p w14:paraId="6E14BA8E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5365502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4.3 谈判文件售价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200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元</w:t>
      </w:r>
      <w:r>
        <w:rPr>
          <w:rFonts w:hint="eastAsia" w:ascii="宋体" w:hAnsi="宋体" w:cs="宋体"/>
          <w:kern w:val="0"/>
          <w:sz w:val="24"/>
          <w:szCs w:val="24"/>
        </w:rPr>
        <w:t>，售后不退；图纸资料押金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0  </w:t>
      </w:r>
      <w:r>
        <w:rPr>
          <w:rFonts w:hint="eastAsia" w:ascii="宋体" w:hAnsi="宋体" w:cs="宋体"/>
          <w:kern w:val="0"/>
          <w:sz w:val="24"/>
          <w:szCs w:val="24"/>
        </w:rPr>
        <w:t>元，在退还图纸资料时退还（不计利息）。从谈判供应商基本账户电汇或转账到采购人账户，并在银行汇款或转账备注栏中注明项目编号(后四位)及款项性质（标书费）；否则，采购人有权不予确认，由此引起的后果由潜在谈判供应商承担。</w:t>
      </w:r>
    </w:p>
    <w:p w14:paraId="4074C1A6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标书费只开具收据不退还，谈判供应商交纳标书费后，采购人第二个工作日确认后,谈判供应商可直接用注册的账户和密码从网上下载谈判文件。</w:t>
      </w:r>
    </w:p>
    <w:p w14:paraId="6030A39F">
      <w:pPr>
        <w:autoSpaceDE w:val="0"/>
        <w:autoSpaceDN w:val="0"/>
        <w:adjustRightInd w:val="0"/>
        <w:spacing w:line="360" w:lineRule="auto"/>
        <w:ind w:left="102" w:leftChars="0" w:right="-23" w:rightChars="0" w:firstLine="324" w:firstLineChars="0"/>
        <w:jc w:val="left"/>
        <w:outlineLvl w:val="2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采购人账户信息</w:t>
      </w:r>
    </w:p>
    <w:p w14:paraId="64D582D5">
      <w:pPr>
        <w:autoSpaceDE w:val="0"/>
        <w:autoSpaceDN w:val="0"/>
        <w:adjustRightInd w:val="0"/>
        <w:spacing w:line="360" w:lineRule="auto"/>
        <w:ind w:left="102" w:leftChars="0" w:right="-23" w:rightChars="0" w:firstLine="324" w:firstLineChars="0"/>
        <w:jc w:val="left"/>
        <w:outlineLvl w:val="3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账 户 名：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山东金岭矿业股份有限公司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 </w:t>
      </w:r>
    </w:p>
    <w:p w14:paraId="591E41F9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银行账号：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>1603065809201000694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</w:p>
    <w:p w14:paraId="420B372A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开户银行：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中国工商银行股份有限公司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淄博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高新支行营业部  </w:t>
      </w:r>
    </w:p>
    <w:p w14:paraId="5ACEBB8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4.4 谈判供应商缴纳标书费后，采购人将在二个工作日内完成费用确认。确认完成后，谈判供应商可登录山钢集团阳光购销平台下载谈判文件。</w:t>
      </w:r>
    </w:p>
    <w:p w14:paraId="0B4ECEA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4.5 谈判供应商如需开具标书费发票，须将开票信息（含单位名称、纳税人识别号、地址电话、开户行及账号）、发票类型（增值税专用发票/增值税普通发票）、费用转账记录等材料，发送至电子邮箱：jlkyzbb@163.com。</w:t>
      </w:r>
    </w:p>
    <w:p w14:paraId="104F428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4.6 本项目不接受未购买本谈判文件的供应商投标。</w:t>
      </w:r>
    </w:p>
    <w:p w14:paraId="5A330616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五、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响应文件的递交</w:t>
      </w:r>
    </w:p>
    <w:p w14:paraId="23D2AC1C">
      <w:pPr>
        <w:spacing w:line="360" w:lineRule="auto"/>
        <w:ind w:firstLine="420" w:firstLineChars="0"/>
        <w:outlineLvl w:val="2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5.1谈判响应文件递交截止时间（开标时间）、地点。</w:t>
      </w:r>
    </w:p>
    <w:p w14:paraId="6CAF11DD">
      <w:pPr>
        <w:spacing w:line="360" w:lineRule="auto"/>
        <w:ind w:firstLine="420" w:firstLineChars="0"/>
        <w:outlineLvl w:val="3"/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</w:rPr>
        <w:t>5.1.1谈判响应文件递交截止时间(开标时间)：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分</w:t>
      </w:r>
    </w:p>
    <w:p w14:paraId="55B64F69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5.1.2开标地点:山东金岭矿业股份有限公司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科创中心三</w:t>
      </w:r>
      <w:r>
        <w:rPr>
          <w:rFonts w:hint="eastAsia" w:ascii="宋体" w:hAnsi="宋体" w:cs="宋体"/>
          <w:kern w:val="0"/>
          <w:sz w:val="24"/>
          <w:szCs w:val="24"/>
        </w:rPr>
        <w:t>楼开标室。</w:t>
      </w:r>
    </w:p>
    <w:p w14:paraId="5E89CF71">
      <w:pPr>
        <w:spacing w:line="360" w:lineRule="auto"/>
        <w:ind w:firstLine="420" w:firstLineChars="0"/>
        <w:outlineLvl w:val="2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5.2谈判供应商递交响应文件应按照谈判文件的要求进行。</w:t>
      </w:r>
    </w:p>
    <w:p w14:paraId="44F9ABC8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5.3逾期送达的、未送达指定地点的或者不按照谈判文件要求密封的响应文件，采购人将予以拒收。</w:t>
      </w:r>
    </w:p>
    <w:p w14:paraId="551B270F">
      <w:pPr>
        <w:spacing w:line="360" w:lineRule="auto"/>
        <w:ind w:firstLine="420" w:firstLineChars="0"/>
        <w:outlineLvl w:val="2"/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  <w:szCs w:val="24"/>
        </w:rPr>
        <w:t>5.4本项目采用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谈判方式,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谈判供应商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参加现场开标活动。</w:t>
      </w:r>
    </w:p>
    <w:p w14:paraId="5C529248">
      <w:pPr>
        <w:spacing w:line="360" w:lineRule="auto"/>
        <w:ind w:firstLine="422" w:firstLineChars="0"/>
        <w:outlineLvl w:val="3"/>
        <w:rPr>
          <w:rFonts w:ascii="宋体" w:hAnsi="宋体" w:cs="宋体"/>
          <w:b/>
          <w:bCs/>
          <w:sz w:val="24"/>
          <w:szCs w:val="24"/>
        </w:rPr>
      </w:pPr>
      <w:bookmarkStart w:id="1" w:name="_Toc3041"/>
      <w:bookmarkStart w:id="2" w:name="_Toc392227734"/>
      <w:bookmarkStart w:id="3" w:name="_Toc20031"/>
      <w:r>
        <w:rPr>
          <w:rFonts w:hint="eastAsia" w:ascii="宋体" w:hAnsi="宋体" w:cs="宋体"/>
          <w:b/>
          <w:bCs/>
          <w:sz w:val="24"/>
          <w:szCs w:val="24"/>
        </w:rPr>
        <w:t>六、发布公告的媒介</w:t>
      </w:r>
      <w:bookmarkEnd w:id="1"/>
      <w:bookmarkEnd w:id="2"/>
      <w:bookmarkEnd w:id="3"/>
    </w:p>
    <w:p w14:paraId="52E624D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本项目谈判公告在“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山钢集团阳光购销平台（http://bams.shansteelgroup.com/）</w:t>
      </w:r>
      <w:r>
        <w:rPr>
          <w:rFonts w:hint="eastAsia" w:ascii="宋体" w:hAnsi="宋体" w:cs="宋体"/>
          <w:sz w:val="24"/>
          <w:szCs w:val="24"/>
        </w:rPr>
        <w:t>”发布。谈判公告将明确对谈判供应商的资格要求、发售谈判文件的日期和方式、投标、开标等事宜。</w:t>
      </w:r>
    </w:p>
    <w:p w14:paraId="7B202AE6">
      <w:pPr>
        <w:spacing w:line="360" w:lineRule="auto"/>
        <w:ind w:firstLine="422" w:firstLineChars="0"/>
        <w:outlineLvl w:val="3"/>
        <w:rPr>
          <w:rFonts w:ascii="宋体" w:hAnsi="宋体" w:cs="宋体"/>
          <w:b/>
          <w:bCs/>
          <w:sz w:val="24"/>
          <w:szCs w:val="24"/>
        </w:rPr>
      </w:pPr>
      <w:bookmarkStart w:id="4" w:name="_Toc12142"/>
      <w:bookmarkStart w:id="5" w:name="_Toc27956"/>
      <w:r>
        <w:rPr>
          <w:rFonts w:hint="eastAsia" w:ascii="宋体" w:hAnsi="宋体" w:cs="宋体"/>
          <w:b/>
          <w:bCs/>
          <w:sz w:val="24"/>
          <w:szCs w:val="24"/>
        </w:rPr>
        <w:t>七、联系方式</w:t>
      </w:r>
      <w:bookmarkEnd w:id="4"/>
      <w:bookmarkEnd w:id="5"/>
    </w:p>
    <w:p w14:paraId="49BF4C3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</w:t>
      </w:r>
      <w:r>
        <w:rPr>
          <w:rFonts w:hint="eastAsia" w:ascii="宋体" w:hAnsi="宋体" w:cs="宋体"/>
          <w:sz w:val="24"/>
          <w:szCs w:val="24"/>
          <w:lang w:eastAsia="zh-CN"/>
        </w:rPr>
        <w:t>山东金岭矿业股份有限公司</w:t>
      </w:r>
      <w:r>
        <w:rPr>
          <w:rFonts w:hint="eastAsia" w:ascii="宋体" w:hAnsi="宋体" w:cs="宋体"/>
          <w:sz w:val="24"/>
          <w:szCs w:val="24"/>
        </w:rPr>
        <w:t>（淄博市张店区中埠镇铁鹰路29号）（百度地图可查）</w:t>
      </w:r>
    </w:p>
    <w:p w14:paraId="66C0618C">
      <w:pPr>
        <w:pStyle w:val="2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5A5B5140">
      <w:pPr>
        <w:spacing w:line="360" w:lineRule="auto"/>
        <w:ind w:firstLine="420"/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tbl>
      <w:tblPr>
        <w:tblStyle w:val="4"/>
        <w:tblpPr w:leftFromText="180" w:rightFromText="180" w:vertAnchor="text" w:horzAnchor="margin" w:tblpXSpec="center" w:tblpY="210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3104"/>
      </w:tblGrid>
      <w:tr w14:paraId="5B9B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Align w:val="center"/>
          </w:tcPr>
          <w:p w14:paraId="12995E19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7172410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vAlign w:val="center"/>
          </w:tcPr>
          <w:p w14:paraId="31E545A1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3104" w:type="dxa"/>
            <w:vAlign w:val="center"/>
          </w:tcPr>
          <w:p w14:paraId="08776A38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2EA6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7027F692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C3FC4EC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投标咨询</w:t>
            </w:r>
          </w:p>
        </w:tc>
        <w:tc>
          <w:tcPr>
            <w:tcW w:w="2268" w:type="dxa"/>
            <w:vAlign w:val="center"/>
          </w:tcPr>
          <w:p w14:paraId="24BDC98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宫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3104" w:type="dxa"/>
            <w:vAlign w:val="center"/>
          </w:tcPr>
          <w:p w14:paraId="67B148A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0533-3088212/3089963</w:t>
            </w:r>
          </w:p>
        </w:tc>
      </w:tr>
      <w:tr w14:paraId="044E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2C84AAF3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41E5AD0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商务咨询</w:t>
            </w:r>
          </w:p>
        </w:tc>
        <w:tc>
          <w:tcPr>
            <w:tcW w:w="2268" w:type="dxa"/>
            <w:vAlign w:val="center"/>
          </w:tcPr>
          <w:p w14:paraId="1C305591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吴先生</w:t>
            </w:r>
          </w:p>
        </w:tc>
        <w:tc>
          <w:tcPr>
            <w:tcW w:w="3104" w:type="dxa"/>
            <w:vAlign w:val="center"/>
          </w:tcPr>
          <w:p w14:paraId="63ADE136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0533-3089871</w:t>
            </w:r>
          </w:p>
        </w:tc>
      </w:tr>
      <w:tr w14:paraId="1E80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3EAB2C16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87E44D4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技术咨询</w:t>
            </w:r>
          </w:p>
        </w:tc>
        <w:tc>
          <w:tcPr>
            <w:tcW w:w="2268" w:type="dxa"/>
            <w:vAlign w:val="center"/>
          </w:tcPr>
          <w:p w14:paraId="381E8A5E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</w:t>
            </w:r>
            <w:r>
              <w:rPr>
                <w:rFonts w:ascii="宋体" w:hAnsi="宋体" w:cs="宋体"/>
                <w:sz w:val="24"/>
                <w:szCs w:val="24"/>
              </w:rPr>
              <w:t>先生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/王先生</w:t>
            </w:r>
          </w:p>
        </w:tc>
        <w:tc>
          <w:tcPr>
            <w:tcW w:w="3104" w:type="dxa"/>
            <w:vAlign w:val="center"/>
          </w:tcPr>
          <w:p w14:paraId="26384B42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0533-3089347/3089401</w:t>
            </w:r>
          </w:p>
        </w:tc>
      </w:tr>
      <w:tr w14:paraId="365B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vAlign w:val="center"/>
          </w:tcPr>
          <w:p w14:paraId="4DC0DFFC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3BF7514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监督</w:t>
            </w:r>
          </w:p>
        </w:tc>
        <w:tc>
          <w:tcPr>
            <w:tcW w:w="2268" w:type="dxa"/>
            <w:vAlign w:val="center"/>
          </w:tcPr>
          <w:p w14:paraId="34863CD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14:paraId="3912299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0533-3089311</w:t>
            </w:r>
          </w:p>
        </w:tc>
      </w:tr>
    </w:tbl>
    <w:p w14:paraId="205D8A1F"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124EF9-BB8C-45EA-80F4-507964CD50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608A37E-798C-4D22-B861-254B381A83A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36378C0-D5B5-4ECB-A481-5F6258C8E5F0}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7B27B216-4C45-41FD-85A8-9485C2C60C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2B92"/>
    <w:rsid w:val="34067265"/>
    <w:rsid w:val="3B5B5607"/>
    <w:rsid w:val="4FAF7A8B"/>
    <w:rsid w:val="57AE6D93"/>
    <w:rsid w:val="6B3462EB"/>
    <w:rsid w:val="7F8D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2478</Words>
  <Characters>2866</Characters>
  <Lines>0</Lines>
  <Paragraphs>0</Paragraphs>
  <TotalTime>1</TotalTime>
  <ScaleCrop>false</ScaleCrop>
  <LinksUpToDate>false</LinksUpToDate>
  <CharactersWithSpaces>2921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2025-04-24T05:46:00Z</dcterms:created>
  <dc:creator>Administrator</dc:creator>
  <cp:lastModifiedBy>lenovo</cp:lastModifiedBy>
  <dcterms:modified xsi:type="dcterms:W3CDTF">2026-01-07T02:59:55Z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2EB43DA6CDD940B483054A75C3997940_12</vt:lpwstr>
  </property>
  <property fmtid="{D5CDD505-2E9C-101B-9397-08002B2CF9AE}" pid="4" name="KSOTemplateDocerSaveRecord">
    <vt:lpwstr>eyJoZGlkIjoiMzQyNzU5MjA1OTY2ZTMyYTM1MzQxNjRlNzM5OGFiY2IiLCJ1c2VySWQiOiIxNDg4NjUxMDEwIn0=</vt:lpwstr>
  </property>
</Properties>
</file>